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-4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01508" cy="1500377"/>
            <wp:effectExtent b="0" l="0" r="0" t="0"/>
            <wp:docPr id="4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1508" cy="1500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1100"/>
        <w:jc w:val="center"/>
        <w:rPr/>
      </w:pPr>
      <w:r w:rsidDel="00000000" w:rsidR="00000000" w:rsidRPr="00000000">
        <w:rPr>
          <w:color w:val="0e101a"/>
          <w:rtl w:val="0"/>
        </w:rPr>
        <w:t xml:space="preserve">Culture Shifts Part 2: How to Create and Champion the Culture You Want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80" w:before="32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8"/>
          <w:szCs w:val="28"/>
          <w:u w:val="single"/>
          <w:rtl w:val="0"/>
        </w:rPr>
        <w:t xml:space="preserve">Description: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Part 2 of the </w:t>
      </w:r>
      <w:r w:rsidDel="00000000" w:rsidR="00000000" w:rsidRPr="00000000">
        <w:rPr>
          <w:i w:val="1"/>
          <w:sz w:val="28"/>
          <w:szCs w:val="28"/>
          <w:rtl w:val="0"/>
        </w:rPr>
        <w:t xml:space="preserve">Culture Shift Series</w:t>
      </w:r>
      <w:r w:rsidDel="00000000" w:rsidR="00000000" w:rsidRPr="00000000">
        <w:rPr>
          <w:sz w:val="28"/>
          <w:szCs w:val="28"/>
          <w:rtl w:val="0"/>
        </w:rPr>
        <w:t xml:space="preserve">, Rev. Russ breaks down the essential components of building a strong, effective culture within your church, business, nonprofit, or family. This episode focuses on the leader’s responsibility in </w:t>
      </w:r>
      <w:r w:rsidDel="00000000" w:rsidR="00000000" w:rsidRPr="00000000">
        <w:rPr>
          <w:b w:val="1"/>
          <w:sz w:val="28"/>
          <w:szCs w:val="28"/>
          <w:rtl w:val="0"/>
        </w:rPr>
        <w:t xml:space="preserve">creating, sustaining, and championing culture</w:t>
      </w:r>
      <w:r w:rsidDel="00000000" w:rsidR="00000000" w:rsidRPr="00000000">
        <w:rPr>
          <w:sz w:val="28"/>
          <w:szCs w:val="28"/>
          <w:rtl w:val="0"/>
        </w:rPr>
        <w:t xml:space="preserve">—and how it all begins with having a clear aim. Through his signature 3-part framework (Aim, Act, Acknowledge), Rev. Russ shows how intentional leadership shapes organizational success.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80" w:before="32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8"/>
          <w:szCs w:val="28"/>
          <w:u w:val="single"/>
          <w:rtl w:val="0"/>
        </w:rPr>
        <w:t xml:space="preserve">Takeaways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8"/>
          <w:szCs w:val="28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You are the culture creator. Whether you’re a pastor, founder, or team leader, the tone and direction of the culture starts with you.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AIM: Culture must begin with a clear goal or target—what does winning look like for your team?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ACT: Once the goal is clear, leaders must create systems and actions that allow the team to execute toward that goal.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ACKNOWLEDGE: Celebrate what you want repeated—acknowledging good behavior reinforces and sustains culture.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spacing w:after="80" w:before="32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8"/>
          <w:szCs w:val="28"/>
          <w:u w:val="single"/>
          <w:rtl w:val="0"/>
        </w:rPr>
        <w:t xml:space="preserve">Other Key Points Suggested by Rev. Russell St. Bernard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Without recognition, even good culture can deteriorate into confusion or inaction.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You can’t expect a winning culture if you haven’t clearly defined what “winning” is.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You need champions—team members who co-lead and embody the culture alongside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after="80" w:before="32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8"/>
          <w:szCs w:val="28"/>
          <w:u w:val="single"/>
          <w:rtl w:val="0"/>
        </w:rPr>
        <w:t xml:space="preserve">Resources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Minute Pivot and Other Podcast by Rev. Russell St.Bernard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https://ministrypivot.com/conversations/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Articles from Rev. Russell St. Bernard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https://ministrypivot.com/articles/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Purchase your Tickets for the TKN Leadership Summit: </w:t>
      </w: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https://tknleadership.com/tkn-leadership-summit-2024/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spacing w:after="80" w:before="32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8"/>
          <w:szCs w:val="28"/>
          <w:u w:val="single"/>
          <w:rtl w:val="0"/>
        </w:rPr>
        <w:t xml:space="preserve">Final Takeaway: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Feeding your culture consistently is how you keep it alive and thriving.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Borrowing someone else’s culture without adaptation can lead to organizational misalignment.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Part 3 of this series will address culture leaks and cracks—what happens when culture is not intentionally managed.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99"/>
          <w:tab w:val="left" w:leader="none" w:pos="900"/>
        </w:tabs>
        <w:spacing w:before="20" w:line="237" w:lineRule="auto"/>
        <w:ind w:right="246"/>
        <w:rPr>
          <w:rFonts w:ascii="Arial" w:cs="Arial" w:eastAsia="Arial" w:hAnsi="Arial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99"/>
          <w:tab w:val="left" w:leader="none" w:pos="900"/>
        </w:tabs>
        <w:spacing w:before="20" w:line="237" w:lineRule="auto"/>
        <w:ind w:right="246"/>
        <w:rPr>
          <w:b w:val="1"/>
          <w:color w:val="0e101a"/>
          <w:sz w:val="28"/>
          <w:szCs w:val="28"/>
          <w:u w:val="single"/>
        </w:rPr>
      </w:pPr>
      <w:r w:rsidDel="00000000" w:rsidR="00000000" w:rsidRPr="00000000">
        <w:rPr>
          <w:b w:val="1"/>
          <w:color w:val="0e101a"/>
          <w:sz w:val="28"/>
          <w:szCs w:val="28"/>
          <w:u w:val="single"/>
          <w:rtl w:val="0"/>
        </w:rPr>
        <w:t xml:space="preserve">Discussion Questions: (discuss with your team or reflect on your own?)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tabs>
          <w:tab w:val="left" w:leader="none" w:pos="899"/>
          <w:tab w:val="left" w:leader="none" w:pos="900"/>
        </w:tabs>
        <w:spacing w:line="237" w:lineRule="auto"/>
        <w:ind w:left="720" w:right="246" w:hanging="360"/>
        <w:rPr>
          <w:color w:val="0e101a"/>
          <w:sz w:val="28"/>
          <w:szCs w:val="28"/>
        </w:rPr>
      </w:pPr>
      <w:r w:rsidDel="00000000" w:rsidR="00000000" w:rsidRPr="00000000">
        <w:rPr>
          <w:color w:val="0e101a"/>
          <w:sz w:val="28"/>
          <w:szCs w:val="28"/>
          <w:rtl w:val="0"/>
        </w:rPr>
        <w:t xml:space="preserve">Have you clearly defined what a "win" looks like in your organization or ministry?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tabs>
          <w:tab w:val="left" w:leader="none" w:pos="899"/>
          <w:tab w:val="left" w:leader="none" w:pos="900"/>
        </w:tabs>
        <w:spacing w:line="237" w:lineRule="auto"/>
        <w:ind w:left="720" w:right="246" w:hanging="360"/>
        <w:rPr>
          <w:color w:val="0e101a"/>
          <w:sz w:val="28"/>
          <w:szCs w:val="28"/>
        </w:rPr>
      </w:pPr>
      <w:r w:rsidDel="00000000" w:rsidR="00000000" w:rsidRPr="00000000">
        <w:rPr>
          <w:color w:val="0e101a"/>
          <w:sz w:val="28"/>
          <w:szCs w:val="28"/>
          <w:rtl w:val="0"/>
        </w:rPr>
        <w:t xml:space="preserve">What systems or behaviors currently support (or hinder) your cultural goals?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left" w:leader="none" w:pos="899"/>
          <w:tab w:val="left" w:leader="none" w:pos="900"/>
        </w:tabs>
        <w:spacing w:line="237" w:lineRule="auto"/>
        <w:ind w:left="720" w:right="246" w:hanging="360"/>
        <w:rPr>
          <w:color w:val="0e101a"/>
          <w:sz w:val="28"/>
          <w:szCs w:val="28"/>
        </w:rPr>
      </w:pPr>
      <w:r w:rsidDel="00000000" w:rsidR="00000000" w:rsidRPr="00000000">
        <w:rPr>
          <w:color w:val="0e101a"/>
          <w:sz w:val="28"/>
          <w:szCs w:val="28"/>
          <w:rtl w:val="0"/>
        </w:rPr>
        <w:t xml:space="preserve">How do you celebrate wins—and are those celebrations reinforcing the culture you want to build?</w:t>
      </w:r>
    </w:p>
    <w:p w:rsidR="00000000" w:rsidDel="00000000" w:rsidP="00000000" w:rsidRDefault="00000000" w:rsidRPr="00000000" w14:paraId="00000024">
      <w:pPr>
        <w:tabs>
          <w:tab w:val="left" w:leader="none" w:pos="899"/>
          <w:tab w:val="left" w:leader="none" w:pos="900"/>
        </w:tabs>
        <w:spacing w:line="237" w:lineRule="auto"/>
        <w:ind w:left="720" w:right="246" w:firstLine="0"/>
        <w:rPr>
          <w:color w:val="0e101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99"/>
          <w:tab w:val="left" w:leader="none" w:pos="900"/>
        </w:tabs>
        <w:spacing w:line="237" w:lineRule="auto"/>
        <w:ind w:left="720" w:right="246" w:firstLine="0"/>
        <w:rPr>
          <w:color w:val="0e101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9"/>
          <w:tab w:val="left" w:leader="none" w:pos="900"/>
        </w:tabs>
        <w:spacing w:after="0" w:before="0" w:line="237" w:lineRule="auto"/>
        <w:ind w:left="720" w:right="246" w:firstLine="0"/>
        <w:jc w:val="left"/>
        <w:rPr>
          <w:color w:val="0e101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before="0" w:lineRule="auto"/>
        <w:ind w:left="108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color w:val="0e101a"/>
          <w:sz w:val="28"/>
          <w:szCs w:val="28"/>
          <w:rtl w:val="0"/>
        </w:rPr>
        <w:t xml:space="preserve">Podcast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  <w:tab w:val="left" w:leader="none" w:pos="808"/>
        </w:tabs>
        <w:spacing w:after="0" w:before="90" w:line="275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101a"/>
          <w:sz w:val="28"/>
          <w:szCs w:val="28"/>
          <w:u w:val="none"/>
          <w:shd w:fill="auto" w:val="clear"/>
          <w:vertAlign w:val="baseline"/>
          <w:rtl w:val="0"/>
        </w:rPr>
        <w:t xml:space="preserve">For more podcasts and articles, visit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a6ee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www.ministrypivot.com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  <w:tab w:val="left" w:leader="none" w:pos="808"/>
        </w:tabs>
        <w:spacing w:after="0" w:before="0" w:line="275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101a"/>
          <w:sz w:val="28"/>
          <w:szCs w:val="28"/>
          <w:u w:val="none"/>
          <w:shd w:fill="auto" w:val="clear"/>
          <w:vertAlign w:val="baseline"/>
          <w:rtl w:val="0"/>
        </w:rPr>
        <w:t xml:space="preserve">Read the articles: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a6ee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  <w:tab w:val="left" w:leader="none" w:pos="808"/>
        </w:tabs>
        <w:spacing w:after="0" w:before="0" w:line="26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101a"/>
          <w:sz w:val="28"/>
          <w:szCs w:val="28"/>
          <w:u w:val="none"/>
          <w:shd w:fill="auto" w:val="clear"/>
          <w:vertAlign w:val="baseline"/>
          <w:rtl w:val="0"/>
        </w:rPr>
        <w:t xml:space="preserve">To watch the video of this conversation</w:t>
      </w:r>
      <w:r w:rsidDel="00000000" w:rsidR="00000000" w:rsidRPr="00000000">
        <w:rPr>
          <w:color w:val="0e101a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101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a6ee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  <w:tab w:val="left" w:leader="none" w:pos="808"/>
        </w:tabs>
        <w:spacing w:after="0" w:before="0" w:line="26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003"/>
          <w:sz w:val="28"/>
          <w:szCs w:val="28"/>
          <w:u w:val="none"/>
          <w:shd w:fill="auto" w:val="clear"/>
          <w:vertAlign w:val="baseline"/>
          <w:rtl w:val="0"/>
        </w:rPr>
        <w:t xml:space="preserve">To Subscribe to the YouTube channel</w:t>
      </w:r>
      <w:r w:rsidDel="00000000" w:rsidR="00000000" w:rsidRPr="00000000">
        <w:rPr>
          <w:color w:val="020003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00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a6ee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  <w:tab w:val="left" w:leader="none" w:pos="808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003"/>
          <w:sz w:val="28"/>
          <w:szCs w:val="28"/>
          <w:u w:val="none"/>
          <w:shd w:fill="auto" w:val="clear"/>
          <w:vertAlign w:val="baseline"/>
          <w:rtl w:val="0"/>
        </w:rPr>
        <w:t xml:space="preserve">To Subscribe to the audio Podcast</w:t>
      </w:r>
      <w:r w:rsidDel="00000000" w:rsidR="00000000" w:rsidRPr="00000000">
        <w:rPr>
          <w:color w:val="020003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00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a6ee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sectPr>
      <w:footerReference r:id="rId16" w:type="default"/>
      <w:pgSz w:h="15840" w:w="12240" w:orient="portrait"/>
      <w:pgMar w:bottom="1020" w:top="420" w:left="1260" w:right="1340" w:header="0" w:footer="8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-223479</wp:posOffset>
          </wp:positionH>
          <wp:positionV relativeFrom="paragraph">
            <wp:posOffset>0</wp:posOffset>
          </wp:positionV>
          <wp:extent cx="6743698" cy="515594"/>
          <wp:effectExtent b="0" l="0" r="0" t="0"/>
          <wp:wrapNone/>
          <wp:docPr id="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3698" cy="51559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ministrypivot.com/" TargetMode="External"/><Relationship Id="rId10" Type="http://schemas.openxmlformats.org/officeDocument/2006/relationships/hyperlink" Target="https://tknleadership.com/tkn-leadership-summit-2024/" TargetMode="External"/><Relationship Id="rId13" Type="http://schemas.openxmlformats.org/officeDocument/2006/relationships/hyperlink" Target="https://ministrypivot.com/conversations/" TargetMode="External"/><Relationship Id="rId12" Type="http://schemas.openxmlformats.org/officeDocument/2006/relationships/hyperlink" Target="https://ministrypivot.com/articl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inistrypivot.com/articles/" TargetMode="External"/><Relationship Id="rId15" Type="http://schemas.openxmlformats.org/officeDocument/2006/relationships/hyperlink" Target="https://podcasts.apple.com/us/podcast/ministry-pivot-with-russell-st-bernard/id1528485491" TargetMode="External"/><Relationship Id="rId14" Type="http://schemas.openxmlformats.org/officeDocument/2006/relationships/hyperlink" Target="https://www.youtube.com/channel/UCCImzdEx-rB6WUiOlMYziSA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ministrypivot.com/conversations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LIJz7MNlf6gp7yn0/STk93X87g==">CgMxLjA4AHIhMTZJQzVJRTV1QV82bWpnUTRQZmpmQ1ZNaUczVGVJSTlJ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