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-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01508" cy="1500377"/>
            <wp:effectExtent b="0" l="0" r="0" t="0"/>
            <wp:docPr id="4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1508" cy="1500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1100"/>
        <w:jc w:val="center"/>
        <w:rPr/>
      </w:pPr>
      <w:r w:rsidDel="00000000" w:rsidR="00000000" w:rsidRPr="00000000">
        <w:rPr>
          <w:color w:val="0e101a"/>
          <w:rtl w:val="0"/>
        </w:rPr>
        <w:t xml:space="preserve">Culture Shifts - Part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80" w:before="320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Description: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this episode of </w:t>
      </w:r>
      <w:r w:rsidDel="00000000" w:rsidR="00000000" w:rsidRPr="00000000">
        <w:rPr>
          <w:i w:val="1"/>
          <w:sz w:val="28"/>
          <w:szCs w:val="28"/>
          <w:rtl w:val="0"/>
        </w:rPr>
        <w:t xml:space="preserve">Ministry Pivot</w:t>
      </w:r>
      <w:r w:rsidDel="00000000" w:rsidR="00000000" w:rsidRPr="00000000">
        <w:rPr>
          <w:sz w:val="28"/>
          <w:szCs w:val="28"/>
          <w:rtl w:val="0"/>
        </w:rPr>
        <w:t xml:space="preserve">, Rev. Russ kicks off a multi-part series focused on </w:t>
      </w:r>
      <w:r w:rsidDel="00000000" w:rsidR="00000000" w:rsidRPr="00000000">
        <w:rPr>
          <w:b w:val="1"/>
          <w:sz w:val="28"/>
          <w:szCs w:val="28"/>
          <w:rtl w:val="0"/>
        </w:rPr>
        <w:t xml:space="preserve">organizational culture</w:t>
      </w:r>
      <w:r w:rsidDel="00000000" w:rsidR="00000000" w:rsidRPr="00000000">
        <w:rPr>
          <w:sz w:val="28"/>
          <w:szCs w:val="28"/>
          <w:rtl w:val="0"/>
        </w:rPr>
        <w:t xml:space="preserve">. He explores the foundational truth that </w:t>
      </w:r>
      <w:r w:rsidDel="00000000" w:rsidR="00000000" w:rsidRPr="00000000">
        <w:rPr>
          <w:b w:val="1"/>
          <w:sz w:val="28"/>
          <w:szCs w:val="28"/>
          <w:rtl w:val="0"/>
        </w:rPr>
        <w:t xml:space="preserve">every organization, church, business, or family has a culture—whether it's intentionally created or not.</w:t>
      </w:r>
      <w:r w:rsidDel="00000000" w:rsidR="00000000" w:rsidRPr="00000000">
        <w:rPr>
          <w:sz w:val="28"/>
          <w:szCs w:val="28"/>
          <w:rtl w:val="0"/>
        </w:rPr>
        <w:t xml:space="preserve"> Rev. Russ challenges leaders to reflect on the culture they’ve cultivated, how it affects their teams, and why understanding your culture is critical for growth, health, and impact.</w:t>
      </w:r>
    </w:p>
    <w:p w:rsidR="00000000" w:rsidDel="00000000" w:rsidP="00000000" w:rsidRDefault="00000000" w:rsidRPr="00000000" w14:paraId="00000007">
      <w:pPr>
        <w:widowControl w:val="1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80" w:before="32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Takeaways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8"/>
          <w:szCs w:val="28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Every organization has a culture—whether you design it or it develops by default.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Culture is reflected in how your team interacts, meets, communicates, and serves.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You cannot fix what you do not understand—if you don’t know why something is working, you won’t know how to repair it when it breaks.</w:t>
      </w:r>
    </w:p>
    <w:p w:rsidR="00000000" w:rsidDel="00000000" w:rsidP="00000000" w:rsidRDefault="00000000" w:rsidRPr="00000000" w14:paraId="0000000D">
      <w:pPr>
        <w:widowControl w:val="1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80" w:before="32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Other Key Points Suggested by Rev. Russell St. Bernard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Culture is not one-size-fits-all; what works for one organization may not fit another.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Copying another organization’s culture without adapting it will feel like wearing an ill-fitting suit.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Leaders must regularly assess their organization’s culture to ensure it aligns with their mission and values.</w:t>
      </w:r>
    </w:p>
    <w:p w:rsidR="00000000" w:rsidDel="00000000" w:rsidP="00000000" w:rsidRDefault="00000000" w:rsidRPr="00000000" w14:paraId="00000012">
      <w:pPr>
        <w:widowControl w:val="1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after="80" w:before="32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Resources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Minute Pivot and Other Podcast by Rev. Russell St.Bernard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https://ministrypivot.com/conversations/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Articles from Rev. Russell St. Bernard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https://ministrypivot.com/articles/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Purchase your Tickets for the TKN Leadership Summit: </w:t>
      </w: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https://tknleadership.com/tkn-leadership-summit-2024/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spacing w:after="80" w:before="32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8"/>
          <w:szCs w:val="28"/>
          <w:u w:val="single"/>
          <w:rtl w:val="0"/>
        </w:rPr>
        <w:t xml:space="preserve">Final Takeaway: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Culture impacts how people feel about your organization before they even engage with your services or mission.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Even families have a culture—what is accepted, celebrated, or discouraged sets the tone.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Leaders must ask: Is our culture helping us thrive, or is it a barrier to growth?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Future episodes will explore how to </w:t>
      </w:r>
      <w:r w:rsidDel="00000000" w:rsidR="00000000" w:rsidRPr="00000000">
        <w:rPr>
          <w:b w:val="1"/>
          <w:sz w:val="28"/>
          <w:szCs w:val="28"/>
          <w:rtl w:val="0"/>
        </w:rPr>
        <w:t xml:space="preserve">create, champion, and protect culture</w:t>
      </w:r>
      <w:r w:rsidDel="00000000" w:rsidR="00000000" w:rsidRPr="00000000">
        <w:rPr>
          <w:sz w:val="28"/>
          <w:szCs w:val="28"/>
          <w:rtl w:val="0"/>
        </w:rPr>
        <w:t xml:space="preserve">, as well as how to spot culture leaks.</w:t>
      </w:r>
    </w:p>
    <w:p w:rsidR="00000000" w:rsidDel="00000000" w:rsidP="00000000" w:rsidRDefault="00000000" w:rsidRPr="00000000" w14:paraId="0000001E">
      <w:pPr>
        <w:widowControl w:val="1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99"/>
          <w:tab w:val="left" w:leader="none" w:pos="900"/>
        </w:tabs>
        <w:spacing w:before="20" w:line="237" w:lineRule="auto"/>
        <w:ind w:right="246"/>
        <w:rPr>
          <w:rFonts w:ascii="Arial" w:cs="Arial" w:eastAsia="Arial" w:hAnsi="Arial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99"/>
          <w:tab w:val="left" w:leader="none" w:pos="900"/>
        </w:tabs>
        <w:spacing w:before="20" w:line="237" w:lineRule="auto"/>
        <w:ind w:right="246"/>
        <w:rPr>
          <w:b w:val="1"/>
          <w:color w:val="0e101a"/>
          <w:sz w:val="28"/>
          <w:szCs w:val="28"/>
          <w:u w:val="single"/>
        </w:rPr>
      </w:pPr>
      <w:r w:rsidDel="00000000" w:rsidR="00000000" w:rsidRPr="00000000">
        <w:rPr>
          <w:b w:val="1"/>
          <w:color w:val="0e101a"/>
          <w:sz w:val="28"/>
          <w:szCs w:val="28"/>
          <w:u w:val="single"/>
          <w:rtl w:val="0"/>
        </w:rPr>
        <w:t xml:space="preserve">Discussion Questions: (discuss with your team or reflect on your own?)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tabs>
          <w:tab w:val="left" w:leader="none" w:pos="899"/>
          <w:tab w:val="left" w:leader="none" w:pos="900"/>
        </w:tabs>
        <w:spacing w:line="237" w:lineRule="auto"/>
        <w:ind w:left="720" w:right="246" w:hanging="360"/>
        <w:rPr>
          <w:color w:val="0e101a"/>
          <w:sz w:val="28"/>
          <w:szCs w:val="28"/>
        </w:rPr>
      </w:pPr>
      <w:r w:rsidDel="00000000" w:rsidR="00000000" w:rsidRPr="00000000">
        <w:rPr>
          <w:color w:val="0e101a"/>
          <w:sz w:val="28"/>
          <w:szCs w:val="28"/>
          <w:rtl w:val="0"/>
        </w:rPr>
        <w:t xml:space="preserve">What is the current culture in your organization, team, or family—and is it serving the purpose and mission you want it to?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899"/>
          <w:tab w:val="left" w:leader="none" w:pos="900"/>
        </w:tabs>
        <w:spacing w:line="237" w:lineRule="auto"/>
        <w:ind w:left="720" w:right="246" w:hanging="360"/>
        <w:rPr>
          <w:color w:val="0e101a"/>
          <w:sz w:val="28"/>
          <w:szCs w:val="28"/>
        </w:rPr>
      </w:pPr>
      <w:r w:rsidDel="00000000" w:rsidR="00000000" w:rsidRPr="00000000">
        <w:rPr>
          <w:color w:val="0e101a"/>
          <w:sz w:val="28"/>
          <w:szCs w:val="28"/>
          <w:rtl w:val="0"/>
        </w:rPr>
        <w:t xml:space="preserve">How has your organization's culture been shaped—was it intentionally created, or did it evolve on its own? What impact has that had on your team or mission?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899"/>
          <w:tab w:val="left" w:leader="none" w:pos="900"/>
        </w:tabs>
        <w:spacing w:line="237" w:lineRule="auto"/>
        <w:ind w:left="720" w:right="246" w:hanging="360"/>
        <w:rPr>
          <w:color w:val="0e101a"/>
          <w:sz w:val="28"/>
          <w:szCs w:val="28"/>
        </w:rPr>
      </w:pPr>
      <w:r w:rsidDel="00000000" w:rsidR="00000000" w:rsidRPr="00000000">
        <w:rPr>
          <w:color w:val="0e101a"/>
          <w:sz w:val="28"/>
          <w:szCs w:val="28"/>
          <w:rtl w:val="0"/>
        </w:rPr>
        <w:t xml:space="preserve">Have you ever tried to adopt another organization's culture or practices? What adjustments did you have to make to ensure it fit your team or context?</w:t>
      </w:r>
    </w:p>
    <w:p w:rsidR="00000000" w:rsidDel="00000000" w:rsidP="00000000" w:rsidRDefault="00000000" w:rsidRPr="00000000" w14:paraId="00000024">
      <w:pPr>
        <w:tabs>
          <w:tab w:val="left" w:leader="none" w:pos="899"/>
          <w:tab w:val="left" w:leader="none" w:pos="900"/>
        </w:tabs>
        <w:spacing w:line="237" w:lineRule="auto"/>
        <w:ind w:left="720" w:right="246" w:firstLine="0"/>
        <w:rPr>
          <w:color w:val="0e101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99"/>
          <w:tab w:val="left" w:leader="none" w:pos="900"/>
        </w:tabs>
        <w:spacing w:line="237" w:lineRule="auto"/>
        <w:ind w:left="720" w:right="246" w:firstLine="0"/>
        <w:rPr>
          <w:color w:val="0e101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9"/>
          <w:tab w:val="left" w:leader="none" w:pos="900"/>
        </w:tabs>
        <w:spacing w:after="0" w:before="0" w:line="237" w:lineRule="auto"/>
        <w:ind w:left="720" w:right="246" w:firstLine="0"/>
        <w:jc w:val="left"/>
        <w:rPr>
          <w:color w:val="0e101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before="0" w:lineRule="auto"/>
        <w:ind w:left="108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color w:val="0e101a"/>
          <w:sz w:val="28"/>
          <w:szCs w:val="28"/>
          <w:rtl w:val="0"/>
        </w:rPr>
        <w:t xml:space="preserve">Podcast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90" w:line="275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101a"/>
          <w:sz w:val="28"/>
          <w:szCs w:val="28"/>
          <w:u w:val="none"/>
          <w:shd w:fill="auto" w:val="clear"/>
          <w:vertAlign w:val="baseline"/>
          <w:rtl w:val="0"/>
        </w:rPr>
        <w:t xml:space="preserve">For more podcasts and articles, visit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www.ministrypivot.com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0" w:line="275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101a"/>
          <w:sz w:val="28"/>
          <w:szCs w:val="28"/>
          <w:u w:val="none"/>
          <w:shd w:fill="auto" w:val="clear"/>
          <w:vertAlign w:val="baseline"/>
          <w:rtl w:val="0"/>
        </w:rPr>
        <w:t xml:space="preserve">Read the articles: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0" w:line="26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101a"/>
          <w:sz w:val="28"/>
          <w:szCs w:val="28"/>
          <w:u w:val="none"/>
          <w:shd w:fill="auto" w:val="clear"/>
          <w:vertAlign w:val="baseline"/>
          <w:rtl w:val="0"/>
        </w:rPr>
        <w:t xml:space="preserve">To watch the video of this conversation</w:t>
      </w:r>
      <w:r w:rsidDel="00000000" w:rsidR="00000000" w:rsidRPr="00000000">
        <w:rPr>
          <w:color w:val="0e101a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101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0" w:line="26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003"/>
          <w:sz w:val="28"/>
          <w:szCs w:val="28"/>
          <w:u w:val="none"/>
          <w:shd w:fill="auto" w:val="clear"/>
          <w:vertAlign w:val="baseline"/>
          <w:rtl w:val="0"/>
        </w:rPr>
        <w:t xml:space="preserve">To Subscribe to the YouTube channel</w:t>
      </w:r>
      <w:r w:rsidDel="00000000" w:rsidR="00000000" w:rsidRPr="00000000">
        <w:rPr>
          <w:color w:val="020003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00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7"/>
          <w:tab w:val="left" w:leader="none" w:pos="808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003"/>
          <w:sz w:val="28"/>
          <w:szCs w:val="28"/>
          <w:u w:val="none"/>
          <w:shd w:fill="auto" w:val="clear"/>
          <w:vertAlign w:val="baseline"/>
          <w:rtl w:val="0"/>
        </w:rPr>
        <w:t xml:space="preserve">To Subscribe to the audio Podcast</w:t>
      </w:r>
      <w:r w:rsidDel="00000000" w:rsidR="00000000" w:rsidRPr="00000000">
        <w:rPr>
          <w:color w:val="020003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2000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4a6ee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1020" w:top="420" w:left="1260" w:right="1340" w:header="0" w:footer="8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-223480</wp:posOffset>
          </wp:positionH>
          <wp:positionV relativeFrom="paragraph">
            <wp:posOffset>0</wp:posOffset>
          </wp:positionV>
          <wp:extent cx="6743698" cy="515594"/>
          <wp:effectExtent b="0" l="0" r="0" t="0"/>
          <wp:wrapNone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3698" cy="51559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0" w:lineRule="auto"/>
      <w:ind w:left="18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5" w:lineRule="auto"/>
      <w:ind w:left="1100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inistrypivot.com/" TargetMode="External"/><Relationship Id="rId10" Type="http://schemas.openxmlformats.org/officeDocument/2006/relationships/hyperlink" Target="https://tknleadership.com/tkn-leadership-summit-2024/" TargetMode="External"/><Relationship Id="rId13" Type="http://schemas.openxmlformats.org/officeDocument/2006/relationships/hyperlink" Target="https://ministrypivot.com/conversations/" TargetMode="External"/><Relationship Id="rId12" Type="http://schemas.openxmlformats.org/officeDocument/2006/relationships/hyperlink" Target="https://ministrypivot.com/articl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inistrypivot.com/articles/" TargetMode="External"/><Relationship Id="rId15" Type="http://schemas.openxmlformats.org/officeDocument/2006/relationships/hyperlink" Target="https://podcasts.apple.com/us/podcast/ministry-pivot-with-russell-st-bernard/id1528485491" TargetMode="External"/><Relationship Id="rId14" Type="http://schemas.openxmlformats.org/officeDocument/2006/relationships/hyperlink" Target="https://www.youtube.com/channel/UCCImzdEx-rB6WUiOlMYziS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ministrypivot.com/conversations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6uB3ah1I/85n45n59w/yIEzW8g==">CgMxLjA4AHIhMUxPYnFHS2FCd2R6cjN0eno5bklaNmNWbWNXVkVlMld4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