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001508" cy="1500377"/>
            <wp:effectExtent b="0" l="0" r="0" t="0"/>
            <wp:docPr id="2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001508" cy="150037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ind w:firstLine="1100"/>
        <w:jc w:val="center"/>
        <w:rPr/>
      </w:pPr>
      <w:r w:rsidDel="00000000" w:rsidR="00000000" w:rsidRPr="00000000">
        <w:rPr>
          <w:color w:val="0e101a"/>
          <w:rtl w:val="0"/>
        </w:rPr>
        <w:t xml:space="preserve">Navigating Pastoral Succession with Dr. Charlie Dates</w:t>
      </w:r>
      <w:r w:rsidDel="00000000" w:rsidR="00000000" w:rsidRPr="00000000">
        <w:rPr>
          <w:rtl w:val="0"/>
        </w:rPr>
      </w:r>
    </w:p>
    <w:p w:rsidR="00000000" w:rsidDel="00000000" w:rsidP="00000000" w:rsidRDefault="00000000" w:rsidRPr="00000000" w14:paraId="00000005">
      <w:pPr>
        <w:pStyle w:val="Heading3"/>
        <w:spacing w:after="80" w:before="320" w:lineRule="auto"/>
        <w:ind w:left="72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color w:val="434343"/>
          <w:sz w:val="28"/>
          <w:szCs w:val="28"/>
          <w:u w:val="single"/>
          <w:rtl w:val="0"/>
        </w:rPr>
        <w:t xml:space="preserve">Description: </w:t>
      </w:r>
      <w:r w:rsidDel="00000000" w:rsidR="00000000" w:rsidRPr="00000000">
        <w:rPr>
          <w:rtl w:val="0"/>
        </w:rPr>
      </w:r>
    </w:p>
    <w:p w:rsidR="00000000" w:rsidDel="00000000" w:rsidP="00000000" w:rsidRDefault="00000000" w:rsidRPr="00000000" w14:paraId="00000006">
      <w:pPr>
        <w:widowControl w:val="1"/>
        <w:ind w:left="720" w:firstLine="0"/>
        <w:rPr>
          <w:sz w:val="28"/>
          <w:szCs w:val="28"/>
        </w:rPr>
      </w:pPr>
      <w:r w:rsidDel="00000000" w:rsidR="00000000" w:rsidRPr="00000000">
        <w:rPr>
          <w:sz w:val="28"/>
          <w:szCs w:val="28"/>
          <w:rtl w:val="0"/>
        </w:rPr>
        <w:t xml:space="preserve">In this episode of the Ministry Pivot podcast, Rev. Dr. Charlie Dates shares his journey of transitioning into senior pastoral roles at two historic churches in Chicago: Progressive Baptist Church and Salem Baptist Church. Dr. Dates talks about pastoral succession's challenges, surprises, and joys, his relationship with his predecessor, and the dynamics of leading two congregations. He also delves into the importance of legacy, leadership, and involving family in ministry.</w:t>
      </w: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pStyle w:val="Heading3"/>
        <w:spacing w:after="80" w:before="32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434343"/>
          <w:sz w:val="28"/>
          <w:szCs w:val="28"/>
          <w:u w:val="single"/>
          <w:rtl w:val="0"/>
        </w:rPr>
        <w:t xml:space="preserve">Takeaways</w:t>
      </w:r>
      <w:r w:rsidDel="00000000" w:rsidR="00000000" w:rsidRPr="00000000">
        <w:rPr>
          <w:rFonts w:ascii="Times New Roman" w:cs="Times New Roman" w:eastAsia="Times New Roman" w:hAnsi="Times New Roman"/>
          <w:color w:val="434343"/>
          <w:sz w:val="28"/>
          <w:szCs w:val="28"/>
          <w:rtl w:val="0"/>
        </w:rPr>
        <w:t xml:space="preserve">: </w:t>
      </w:r>
      <w:r w:rsidDel="00000000" w:rsidR="00000000" w:rsidRPr="00000000">
        <w:rPr>
          <w:rtl w:val="0"/>
        </w:rPr>
      </w:r>
    </w:p>
    <w:p w:rsidR="00000000" w:rsidDel="00000000" w:rsidP="00000000" w:rsidRDefault="00000000" w:rsidRPr="00000000" w14:paraId="00000009">
      <w:pPr>
        <w:widowControl w:val="1"/>
        <w:numPr>
          <w:ilvl w:val="0"/>
          <w:numId w:val="3"/>
        </w:numPr>
        <w:ind w:left="1440" w:hanging="360"/>
        <w:rPr>
          <w:sz w:val="28"/>
          <w:szCs w:val="28"/>
        </w:rPr>
      </w:pPr>
      <w:r w:rsidDel="00000000" w:rsidR="00000000" w:rsidRPr="00000000">
        <w:rPr>
          <w:sz w:val="28"/>
          <w:szCs w:val="28"/>
          <w:rtl w:val="0"/>
        </w:rPr>
        <w:t xml:space="preserve">Pastoral Succession Requires Humility: Succession is about continuing someone else’s legacy while integrating your own style. Dr. Dates emphasizes the importance of honoring your predecessor and being patient as you step into the leadership role.</w:t>
      </w:r>
    </w:p>
    <w:p w:rsidR="00000000" w:rsidDel="00000000" w:rsidP="00000000" w:rsidRDefault="00000000" w:rsidRPr="00000000" w14:paraId="0000000A">
      <w:pPr>
        <w:widowControl w:val="1"/>
        <w:numPr>
          <w:ilvl w:val="0"/>
          <w:numId w:val="3"/>
        </w:numPr>
        <w:ind w:left="1440" w:hanging="360"/>
        <w:rPr>
          <w:sz w:val="28"/>
          <w:szCs w:val="28"/>
        </w:rPr>
      </w:pPr>
      <w:r w:rsidDel="00000000" w:rsidR="00000000" w:rsidRPr="00000000">
        <w:rPr>
          <w:sz w:val="28"/>
          <w:szCs w:val="28"/>
          <w:rtl w:val="0"/>
        </w:rPr>
        <w:t xml:space="preserve">Building on the Legacy of the Previous Pastor: Publicly acknowledging and appreciating the work of the outgoing pastor can win over the congregation and make the transition smoother.</w:t>
      </w:r>
    </w:p>
    <w:p w:rsidR="00000000" w:rsidDel="00000000" w:rsidP="00000000" w:rsidRDefault="00000000" w:rsidRPr="00000000" w14:paraId="0000000B">
      <w:pPr>
        <w:widowControl w:val="1"/>
        <w:numPr>
          <w:ilvl w:val="0"/>
          <w:numId w:val="3"/>
        </w:numPr>
        <w:ind w:left="1440" w:hanging="360"/>
        <w:rPr>
          <w:sz w:val="28"/>
          <w:szCs w:val="28"/>
        </w:rPr>
      </w:pPr>
      <w:r w:rsidDel="00000000" w:rsidR="00000000" w:rsidRPr="00000000">
        <w:rPr>
          <w:sz w:val="28"/>
          <w:szCs w:val="28"/>
          <w:rtl w:val="0"/>
        </w:rPr>
        <w:t xml:space="preserve">Cross-Pollination of Ministry DNA: Leading two congregations allowed Dr. Dates to take learnings and strengths from one church to help revitalize the other, creating a cross-pollination of ministry styles.</w:t>
      </w:r>
    </w:p>
    <w:p w:rsidR="00000000" w:rsidDel="00000000" w:rsidP="00000000" w:rsidRDefault="00000000" w:rsidRPr="00000000" w14:paraId="0000000C">
      <w:pPr>
        <w:widowControl w:val="1"/>
        <w:numPr>
          <w:ilvl w:val="0"/>
          <w:numId w:val="3"/>
        </w:numPr>
        <w:ind w:left="1440" w:hanging="360"/>
        <w:rPr>
          <w:sz w:val="28"/>
          <w:szCs w:val="28"/>
        </w:rPr>
      </w:pPr>
      <w:r w:rsidDel="00000000" w:rsidR="00000000" w:rsidRPr="00000000">
        <w:rPr>
          <w:sz w:val="28"/>
          <w:szCs w:val="28"/>
          <w:rtl w:val="0"/>
        </w:rPr>
        <w:t xml:space="preserve">Navigating Emotional Dynamics: Succession is not just about leading the church but also about caring for the emotional well-being of both the church and the outgoing pastor, especially when it's their life's work.</w:t>
      </w:r>
    </w:p>
    <w:p w:rsidR="00000000" w:rsidDel="00000000" w:rsidP="00000000" w:rsidRDefault="00000000" w:rsidRPr="00000000" w14:paraId="0000000D">
      <w:pPr>
        <w:widowControl w:val="1"/>
        <w:ind w:left="0" w:firstLine="0"/>
        <w:rPr>
          <w:sz w:val="28"/>
          <w:szCs w:val="28"/>
        </w:rPr>
      </w:pPr>
      <w:r w:rsidDel="00000000" w:rsidR="00000000" w:rsidRPr="00000000">
        <w:rPr>
          <w:rtl w:val="0"/>
        </w:rPr>
      </w:r>
    </w:p>
    <w:p w:rsidR="00000000" w:rsidDel="00000000" w:rsidP="00000000" w:rsidRDefault="00000000" w:rsidRPr="00000000" w14:paraId="0000000E">
      <w:pPr>
        <w:pStyle w:val="Heading3"/>
        <w:spacing w:after="80" w:before="320" w:lineRule="auto"/>
        <w:ind w:left="720" w:firstLine="0"/>
        <w:rPr/>
      </w:pPr>
      <w:r w:rsidDel="00000000" w:rsidR="00000000" w:rsidRPr="00000000">
        <w:rPr>
          <w:rFonts w:ascii="Times New Roman" w:cs="Times New Roman" w:eastAsia="Times New Roman" w:hAnsi="Times New Roman"/>
          <w:b w:val="1"/>
          <w:color w:val="434343"/>
          <w:sz w:val="28"/>
          <w:szCs w:val="28"/>
          <w:u w:val="single"/>
          <w:rtl w:val="0"/>
        </w:rPr>
        <w:t xml:space="preserve">Other Key Points Suggested by Rev. Russell St. Bernard</w:t>
      </w:r>
      <w:r w:rsidDel="00000000" w:rsidR="00000000" w:rsidRPr="00000000">
        <w:rPr>
          <w:rtl w:val="0"/>
        </w:rPr>
      </w:r>
    </w:p>
    <w:p w:rsidR="00000000" w:rsidDel="00000000" w:rsidP="00000000" w:rsidRDefault="00000000" w:rsidRPr="00000000" w14:paraId="0000000F">
      <w:pPr>
        <w:widowControl w:val="1"/>
        <w:numPr>
          <w:ilvl w:val="0"/>
          <w:numId w:val="6"/>
        </w:numPr>
        <w:ind w:left="1440" w:hanging="360"/>
        <w:rPr>
          <w:sz w:val="28"/>
          <w:szCs w:val="28"/>
        </w:rPr>
      </w:pPr>
      <w:r w:rsidDel="00000000" w:rsidR="00000000" w:rsidRPr="00000000">
        <w:rPr>
          <w:sz w:val="28"/>
          <w:szCs w:val="28"/>
          <w:rtl w:val="0"/>
        </w:rPr>
        <w:t xml:space="preserve">Relationship with the Legacy Pastor: The strong relationship between Dr. Dates and his predecessor, Pastor Meeks, was instrumental in a smooth transition, though Dr. Dates advises even those selected by search committees to study and honor their predecessors.</w:t>
      </w:r>
    </w:p>
    <w:p w:rsidR="00000000" w:rsidDel="00000000" w:rsidP="00000000" w:rsidRDefault="00000000" w:rsidRPr="00000000" w14:paraId="00000010">
      <w:pPr>
        <w:widowControl w:val="1"/>
        <w:numPr>
          <w:ilvl w:val="0"/>
          <w:numId w:val="6"/>
        </w:numPr>
        <w:ind w:left="1440" w:hanging="360"/>
        <w:rPr>
          <w:sz w:val="28"/>
          <w:szCs w:val="28"/>
        </w:rPr>
      </w:pPr>
      <w:r w:rsidDel="00000000" w:rsidR="00000000" w:rsidRPr="00000000">
        <w:rPr>
          <w:sz w:val="28"/>
          <w:szCs w:val="28"/>
          <w:rtl w:val="0"/>
        </w:rPr>
        <w:t xml:space="preserve">Handling Church Operations and Staff: Dr. Dates chose not to disrupt the staff for the first year to maintain stability. He recommends a similar approach to other pastors stepping into new roles to focus on preaching and building relationships first.</w:t>
      </w:r>
    </w:p>
    <w:p w:rsidR="00000000" w:rsidDel="00000000" w:rsidP="00000000" w:rsidRDefault="00000000" w:rsidRPr="00000000" w14:paraId="00000011">
      <w:pPr>
        <w:widowControl w:val="1"/>
        <w:numPr>
          <w:ilvl w:val="0"/>
          <w:numId w:val="6"/>
        </w:numPr>
        <w:ind w:left="1440" w:hanging="360"/>
        <w:rPr>
          <w:sz w:val="28"/>
          <w:szCs w:val="28"/>
        </w:rPr>
      </w:pPr>
      <w:r w:rsidDel="00000000" w:rsidR="00000000" w:rsidRPr="00000000">
        <w:rPr>
          <w:sz w:val="28"/>
          <w:szCs w:val="28"/>
          <w:rtl w:val="0"/>
        </w:rPr>
        <w:t xml:space="preserve">Involving Family in Ministry: Dr. Dates discusses how his family is actively involved in ministry, viewing the transition as a calling for the entire family, not just himself.</w:t>
      </w:r>
    </w:p>
    <w:p w:rsidR="00000000" w:rsidDel="00000000" w:rsidP="00000000" w:rsidRDefault="00000000" w:rsidRPr="00000000" w14:paraId="00000012">
      <w:pPr>
        <w:widowControl w:val="1"/>
        <w:ind w:left="1440" w:firstLine="0"/>
        <w:rPr>
          <w:sz w:val="28"/>
          <w:szCs w:val="28"/>
        </w:rPr>
      </w:pPr>
      <w:r w:rsidDel="00000000" w:rsidR="00000000" w:rsidRPr="00000000">
        <w:rPr>
          <w:rtl w:val="0"/>
        </w:rPr>
      </w:r>
    </w:p>
    <w:p w:rsidR="00000000" w:rsidDel="00000000" w:rsidP="00000000" w:rsidRDefault="00000000" w:rsidRPr="00000000" w14:paraId="00000013">
      <w:pPr>
        <w:widowControl w:val="1"/>
        <w:ind w:left="1440" w:firstLine="0"/>
        <w:rPr>
          <w:sz w:val="28"/>
          <w:szCs w:val="28"/>
        </w:rPr>
      </w:pPr>
      <w:r w:rsidDel="00000000" w:rsidR="00000000" w:rsidRPr="00000000">
        <w:rPr>
          <w:rtl w:val="0"/>
        </w:rPr>
      </w:r>
    </w:p>
    <w:p w:rsidR="00000000" w:rsidDel="00000000" w:rsidP="00000000" w:rsidRDefault="00000000" w:rsidRPr="00000000" w14:paraId="00000014">
      <w:pPr>
        <w:pStyle w:val="Heading3"/>
        <w:spacing w:after="80" w:before="320" w:lineRule="auto"/>
        <w:ind w:left="720" w:firstLine="0"/>
        <w:rPr>
          <w:sz w:val="28"/>
          <w:szCs w:val="28"/>
        </w:rPr>
      </w:pPr>
      <w:r w:rsidDel="00000000" w:rsidR="00000000" w:rsidRPr="00000000">
        <w:rPr>
          <w:rFonts w:ascii="Times New Roman" w:cs="Times New Roman" w:eastAsia="Times New Roman" w:hAnsi="Times New Roman"/>
          <w:b w:val="1"/>
          <w:color w:val="434343"/>
          <w:sz w:val="28"/>
          <w:szCs w:val="28"/>
          <w:u w:val="single"/>
          <w:rtl w:val="0"/>
        </w:rPr>
        <w:t xml:space="preserve">Resources</w:t>
      </w:r>
      <w:r w:rsidDel="00000000" w:rsidR="00000000" w:rsidRPr="00000000">
        <w:rPr>
          <w:sz w:val="28"/>
          <w:szCs w:val="28"/>
          <w:rtl w:val="0"/>
        </w:rPr>
        <w:t xml:space="preserve"> </w:t>
      </w:r>
    </w:p>
    <w:p w:rsidR="00000000" w:rsidDel="00000000" w:rsidP="00000000" w:rsidRDefault="00000000" w:rsidRPr="00000000" w14:paraId="00000015">
      <w:pPr>
        <w:numPr>
          <w:ilvl w:val="0"/>
          <w:numId w:val="1"/>
        </w:numPr>
        <w:ind w:left="1440" w:hanging="360"/>
        <w:rPr>
          <w:b w:val="1"/>
          <w:sz w:val="28"/>
          <w:szCs w:val="28"/>
        </w:rPr>
      </w:pPr>
      <w:r w:rsidDel="00000000" w:rsidR="00000000" w:rsidRPr="00000000">
        <w:rPr>
          <w:b w:val="1"/>
          <w:sz w:val="28"/>
          <w:szCs w:val="28"/>
          <w:rtl w:val="0"/>
        </w:rPr>
        <w:t xml:space="preserve">Connect with Dr. Dates:</w:t>
      </w:r>
    </w:p>
    <w:p w:rsidR="00000000" w:rsidDel="00000000" w:rsidP="00000000" w:rsidRDefault="00000000" w:rsidRPr="00000000" w14:paraId="00000016">
      <w:pPr>
        <w:numPr>
          <w:ilvl w:val="1"/>
          <w:numId w:val="1"/>
        </w:numPr>
        <w:ind w:left="2160" w:hanging="360"/>
        <w:rPr>
          <w:sz w:val="28"/>
          <w:szCs w:val="28"/>
          <w:u w:val="none"/>
        </w:rPr>
      </w:pPr>
      <w:r w:rsidDel="00000000" w:rsidR="00000000" w:rsidRPr="00000000">
        <w:rPr>
          <w:sz w:val="28"/>
          <w:szCs w:val="28"/>
          <w:rtl w:val="0"/>
        </w:rPr>
        <w:t xml:space="preserve">Website: </w:t>
      </w:r>
      <w:hyperlink r:id="rId8">
        <w:r w:rsidDel="00000000" w:rsidR="00000000" w:rsidRPr="00000000">
          <w:rPr>
            <w:color w:val="1155cc"/>
            <w:sz w:val="28"/>
            <w:szCs w:val="28"/>
            <w:u w:val="single"/>
            <w:rtl w:val="0"/>
          </w:rPr>
          <w:t xml:space="preserve">https://www.preachingdates.com/</w:t>
        </w:r>
      </w:hyperlink>
      <w:r w:rsidDel="00000000" w:rsidR="00000000" w:rsidRPr="00000000">
        <w:rPr>
          <w:sz w:val="28"/>
          <w:szCs w:val="28"/>
          <w:rtl w:val="0"/>
        </w:rPr>
        <w:t xml:space="preserve"> </w:t>
      </w:r>
    </w:p>
    <w:p w:rsidR="00000000" w:rsidDel="00000000" w:rsidP="00000000" w:rsidRDefault="00000000" w:rsidRPr="00000000" w14:paraId="00000017">
      <w:pPr>
        <w:numPr>
          <w:ilvl w:val="1"/>
          <w:numId w:val="1"/>
        </w:numPr>
        <w:ind w:left="2160" w:hanging="360"/>
        <w:rPr>
          <w:sz w:val="28"/>
          <w:szCs w:val="28"/>
          <w:u w:val="none"/>
        </w:rPr>
      </w:pPr>
      <w:r w:rsidDel="00000000" w:rsidR="00000000" w:rsidRPr="00000000">
        <w:rPr>
          <w:sz w:val="28"/>
          <w:szCs w:val="28"/>
          <w:rtl w:val="0"/>
        </w:rPr>
        <w:t xml:space="preserve">Instagram: </w:t>
      </w:r>
      <w:hyperlink r:id="rId9">
        <w:r w:rsidDel="00000000" w:rsidR="00000000" w:rsidRPr="00000000">
          <w:rPr>
            <w:color w:val="1155cc"/>
            <w:sz w:val="28"/>
            <w:szCs w:val="28"/>
            <w:u w:val="single"/>
            <w:rtl w:val="0"/>
          </w:rPr>
          <w:t xml:space="preserve">https://www.instagram.com/charliedates/</w:t>
        </w:r>
      </w:hyperlink>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Minute Pivot and Other Podcast by Rev. Russell St.Bernard </w:t>
      </w:r>
      <w:hyperlink r:id="rId10">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https://ministrypivot.com/conversations/</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Articles from Rev. Russell St. Bernard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11">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https://ministrypivot.com/articles/</w:t>
        </w:r>
      </w:hyperlink>
      <w:r w:rsidDel="00000000" w:rsidR="00000000" w:rsidRPr="00000000">
        <w:rPr>
          <w:rtl w:val="0"/>
        </w:rPr>
      </w:r>
    </w:p>
    <w:p w:rsidR="00000000" w:rsidDel="00000000" w:rsidP="00000000" w:rsidRDefault="00000000" w:rsidRPr="00000000" w14:paraId="0000001A">
      <w:pPr>
        <w:rPr>
          <w:sz w:val="28"/>
          <w:szCs w:val="28"/>
        </w:rPr>
      </w:pPr>
      <w:r w:rsidDel="00000000" w:rsidR="00000000" w:rsidRPr="00000000">
        <w:rPr>
          <w:rtl w:val="0"/>
        </w:rPr>
      </w:r>
    </w:p>
    <w:p w:rsidR="00000000" w:rsidDel="00000000" w:rsidP="00000000" w:rsidRDefault="00000000" w:rsidRPr="00000000" w14:paraId="0000001B">
      <w:pPr>
        <w:pStyle w:val="Heading3"/>
        <w:spacing w:after="80" w:before="32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color w:val="434343"/>
          <w:sz w:val="28"/>
          <w:szCs w:val="28"/>
          <w:u w:val="single"/>
          <w:rtl w:val="0"/>
        </w:rPr>
        <w:t xml:space="preserve">Final Takeaway:</w:t>
      </w:r>
      <w:r w:rsidDel="00000000" w:rsidR="00000000" w:rsidRPr="00000000">
        <w:rPr>
          <w:rtl w:val="0"/>
        </w:rPr>
      </w:r>
    </w:p>
    <w:p w:rsidR="00000000" w:rsidDel="00000000" w:rsidP="00000000" w:rsidRDefault="00000000" w:rsidRPr="00000000" w14:paraId="0000001C">
      <w:pPr>
        <w:widowControl w:val="1"/>
        <w:numPr>
          <w:ilvl w:val="0"/>
          <w:numId w:val="2"/>
        </w:numPr>
        <w:spacing w:after="0" w:lineRule="auto"/>
        <w:ind w:left="1440" w:hanging="360"/>
        <w:rPr>
          <w:rFonts w:ascii="Arial" w:cs="Arial" w:eastAsia="Arial" w:hAnsi="Arial"/>
        </w:rPr>
      </w:pPr>
      <w:r w:rsidDel="00000000" w:rsidR="00000000" w:rsidRPr="00000000">
        <w:rPr>
          <w:sz w:val="28"/>
          <w:szCs w:val="28"/>
          <w:rtl w:val="0"/>
        </w:rPr>
        <w:t xml:space="preserve">Surprising Strength of Congregations: Dr. Dates was pleasantly surprised by the resilience and strength of both churches during the transition, especially how the churches grew spiritually and numerically.</w:t>
      </w:r>
    </w:p>
    <w:p w:rsidR="00000000" w:rsidDel="00000000" w:rsidP="00000000" w:rsidRDefault="00000000" w:rsidRPr="00000000" w14:paraId="0000001D">
      <w:pPr>
        <w:widowControl w:val="1"/>
        <w:numPr>
          <w:ilvl w:val="0"/>
          <w:numId w:val="2"/>
        </w:numPr>
        <w:spacing w:after="0" w:lineRule="auto"/>
        <w:ind w:left="1440" w:hanging="360"/>
        <w:rPr>
          <w:rFonts w:ascii="Arial" w:cs="Arial" w:eastAsia="Arial" w:hAnsi="Arial"/>
        </w:rPr>
      </w:pPr>
      <w:r w:rsidDel="00000000" w:rsidR="00000000" w:rsidRPr="00000000">
        <w:rPr>
          <w:sz w:val="28"/>
          <w:szCs w:val="28"/>
          <w:rtl w:val="0"/>
        </w:rPr>
        <w:t xml:space="preserve">Preaching Through Transition: Dr. Dates advises pastors to focus on preaching during their first year in a new church, using that time to connect with the congregation and avoid getting too involved in operational issues early on.</w:t>
      </w:r>
    </w:p>
    <w:p w:rsidR="00000000" w:rsidDel="00000000" w:rsidP="00000000" w:rsidRDefault="00000000" w:rsidRPr="00000000" w14:paraId="0000001E">
      <w:pPr>
        <w:widowControl w:val="1"/>
        <w:numPr>
          <w:ilvl w:val="0"/>
          <w:numId w:val="2"/>
        </w:numPr>
        <w:spacing w:after="0" w:lineRule="auto"/>
        <w:ind w:left="1440" w:hanging="360"/>
        <w:rPr>
          <w:rFonts w:ascii="Arial" w:cs="Arial" w:eastAsia="Arial" w:hAnsi="Arial"/>
        </w:rPr>
      </w:pPr>
      <w:r w:rsidDel="00000000" w:rsidR="00000000" w:rsidRPr="00000000">
        <w:rPr>
          <w:sz w:val="28"/>
          <w:szCs w:val="28"/>
          <w:rtl w:val="0"/>
        </w:rPr>
        <w:t xml:space="preserve">Joyful Succession Stories Are Possible: Despite the challenges, Dr. Dates emphasizes that pastoral succession can be a joyful and fulfilling process when handled with care, humility, and God’s guidance.</w:t>
      </w:r>
      <w:r w:rsidDel="00000000" w:rsidR="00000000" w:rsidRPr="00000000">
        <w:rPr>
          <w:rtl w:val="0"/>
        </w:rPr>
      </w:r>
    </w:p>
    <w:p w:rsidR="00000000" w:rsidDel="00000000" w:rsidP="00000000" w:rsidRDefault="00000000" w:rsidRPr="00000000" w14:paraId="0000001F">
      <w:pPr>
        <w:widowControl w:val="1"/>
        <w:ind w:left="1440" w:firstLine="0"/>
        <w:rPr>
          <w:sz w:val="28"/>
          <w:szCs w:val="28"/>
        </w:rPr>
      </w:pPr>
      <w:r w:rsidDel="00000000" w:rsidR="00000000" w:rsidRPr="00000000">
        <w:rPr>
          <w:rtl w:val="0"/>
        </w:rPr>
      </w:r>
    </w:p>
    <w:p w:rsidR="00000000" w:rsidDel="00000000" w:rsidP="00000000" w:rsidRDefault="00000000" w:rsidRPr="00000000" w14:paraId="00000020">
      <w:pPr>
        <w:tabs>
          <w:tab w:val="left" w:leader="none" w:pos="899"/>
          <w:tab w:val="left" w:leader="none" w:pos="900"/>
        </w:tabs>
        <w:spacing w:before="20" w:line="237" w:lineRule="auto"/>
        <w:ind w:right="246"/>
        <w:rPr>
          <w:rFonts w:ascii="Arial" w:cs="Arial" w:eastAsia="Arial" w:hAnsi="Arial"/>
          <w:color w:val="0e101a"/>
          <w:sz w:val="24"/>
          <w:szCs w:val="24"/>
        </w:rPr>
      </w:pPr>
      <w:r w:rsidDel="00000000" w:rsidR="00000000" w:rsidRPr="00000000">
        <w:rPr>
          <w:rtl w:val="0"/>
        </w:rPr>
      </w:r>
    </w:p>
    <w:p w:rsidR="00000000" w:rsidDel="00000000" w:rsidP="00000000" w:rsidRDefault="00000000" w:rsidRPr="00000000" w14:paraId="00000021">
      <w:pPr>
        <w:tabs>
          <w:tab w:val="left" w:leader="none" w:pos="899"/>
          <w:tab w:val="left" w:leader="none" w:pos="900"/>
        </w:tabs>
        <w:spacing w:before="20" w:line="237" w:lineRule="auto"/>
        <w:ind w:right="246"/>
        <w:rPr>
          <w:b w:val="1"/>
          <w:color w:val="0e101a"/>
          <w:sz w:val="28"/>
          <w:szCs w:val="28"/>
          <w:u w:val="single"/>
        </w:rPr>
      </w:pPr>
      <w:r w:rsidDel="00000000" w:rsidR="00000000" w:rsidRPr="00000000">
        <w:rPr>
          <w:b w:val="1"/>
          <w:color w:val="0e101a"/>
          <w:sz w:val="28"/>
          <w:szCs w:val="28"/>
          <w:u w:val="single"/>
          <w:rtl w:val="0"/>
        </w:rPr>
        <w:t xml:space="preserve">Discussion Questions: (discuss with your team or reflect on your own?)</w:t>
      </w:r>
    </w:p>
    <w:p w:rsidR="00000000" w:rsidDel="00000000" w:rsidP="00000000" w:rsidRDefault="00000000" w:rsidRPr="00000000" w14:paraId="00000022">
      <w:pPr>
        <w:numPr>
          <w:ilvl w:val="0"/>
          <w:numId w:val="5"/>
        </w:numPr>
        <w:tabs>
          <w:tab w:val="left" w:leader="none" w:pos="899"/>
          <w:tab w:val="left" w:leader="none" w:pos="900"/>
        </w:tabs>
        <w:spacing w:line="237" w:lineRule="auto"/>
        <w:ind w:left="720" w:right="246" w:hanging="360"/>
        <w:rPr>
          <w:color w:val="0e101a"/>
          <w:sz w:val="28"/>
          <w:szCs w:val="28"/>
        </w:rPr>
      </w:pPr>
      <w:r w:rsidDel="00000000" w:rsidR="00000000" w:rsidRPr="00000000">
        <w:rPr>
          <w:color w:val="0e101a"/>
          <w:sz w:val="28"/>
          <w:szCs w:val="28"/>
          <w:rtl w:val="0"/>
        </w:rPr>
        <w:t xml:space="preserve">How can we honor the legacy of previous leadership while establishing new directions in our organization?</w:t>
      </w:r>
    </w:p>
    <w:p w:rsidR="00000000" w:rsidDel="00000000" w:rsidP="00000000" w:rsidRDefault="00000000" w:rsidRPr="00000000" w14:paraId="00000023">
      <w:pPr>
        <w:numPr>
          <w:ilvl w:val="0"/>
          <w:numId w:val="5"/>
        </w:numPr>
        <w:tabs>
          <w:tab w:val="left" w:leader="none" w:pos="899"/>
          <w:tab w:val="left" w:leader="none" w:pos="900"/>
        </w:tabs>
        <w:spacing w:line="237" w:lineRule="auto"/>
        <w:ind w:left="720" w:right="246" w:hanging="360"/>
        <w:rPr>
          <w:color w:val="0e101a"/>
          <w:sz w:val="28"/>
          <w:szCs w:val="28"/>
        </w:rPr>
      </w:pPr>
      <w:r w:rsidDel="00000000" w:rsidR="00000000" w:rsidRPr="00000000">
        <w:rPr>
          <w:color w:val="0e101a"/>
          <w:sz w:val="28"/>
          <w:szCs w:val="28"/>
          <w:rtl w:val="0"/>
        </w:rPr>
        <w:t xml:space="preserve">What steps can we take to ensure that our transition or succession process is emotionally and spiritually healthy for the outgoing and incoming leaders?</w:t>
      </w:r>
    </w:p>
    <w:p w:rsidR="00000000" w:rsidDel="00000000" w:rsidP="00000000" w:rsidRDefault="00000000" w:rsidRPr="00000000" w14:paraId="00000024">
      <w:pPr>
        <w:numPr>
          <w:ilvl w:val="0"/>
          <w:numId w:val="5"/>
        </w:numPr>
        <w:tabs>
          <w:tab w:val="left" w:leader="none" w:pos="899"/>
          <w:tab w:val="left" w:leader="none" w:pos="900"/>
        </w:tabs>
        <w:spacing w:line="237" w:lineRule="auto"/>
        <w:ind w:left="720" w:right="246" w:hanging="360"/>
        <w:rPr>
          <w:color w:val="0e101a"/>
          <w:sz w:val="28"/>
          <w:szCs w:val="28"/>
        </w:rPr>
      </w:pPr>
      <w:r w:rsidDel="00000000" w:rsidR="00000000" w:rsidRPr="00000000">
        <w:rPr>
          <w:color w:val="0e101a"/>
          <w:sz w:val="28"/>
          <w:szCs w:val="28"/>
          <w:rtl w:val="0"/>
        </w:rPr>
        <w:t xml:space="preserve">How can we prioritize and strengthen preaching or core functions during times of transition while avoiding operational distractions?</w:t>
      </w:r>
    </w:p>
    <w:p w:rsidR="00000000" w:rsidDel="00000000" w:rsidP="00000000" w:rsidRDefault="00000000" w:rsidRPr="00000000" w14:paraId="00000025">
      <w:pPr>
        <w:tabs>
          <w:tab w:val="left" w:leader="none" w:pos="899"/>
          <w:tab w:val="left" w:leader="none" w:pos="900"/>
        </w:tabs>
        <w:spacing w:line="237" w:lineRule="auto"/>
        <w:ind w:left="720" w:right="246" w:firstLine="0"/>
        <w:rPr>
          <w:color w:val="0e101a"/>
          <w:sz w:val="28"/>
          <w:szCs w:val="28"/>
        </w:rPr>
      </w:pPr>
      <w:r w:rsidDel="00000000" w:rsidR="00000000" w:rsidRPr="00000000">
        <w:rPr>
          <w:rtl w:val="0"/>
        </w:rPr>
      </w:r>
    </w:p>
    <w:p w:rsidR="00000000" w:rsidDel="00000000" w:rsidP="00000000" w:rsidRDefault="00000000" w:rsidRPr="00000000" w14:paraId="00000026">
      <w:pPr>
        <w:tabs>
          <w:tab w:val="left" w:leader="none" w:pos="899"/>
          <w:tab w:val="left" w:leader="none" w:pos="900"/>
        </w:tabs>
        <w:spacing w:line="237" w:lineRule="auto"/>
        <w:ind w:left="720" w:right="246" w:firstLine="0"/>
        <w:rPr>
          <w:color w:val="0e101a"/>
          <w:sz w:val="28"/>
          <w:szCs w:val="28"/>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9"/>
          <w:tab w:val="left" w:leader="none" w:pos="900"/>
        </w:tabs>
        <w:spacing w:after="0" w:before="0" w:line="237" w:lineRule="auto"/>
        <w:ind w:left="720" w:right="246" w:firstLine="0"/>
        <w:jc w:val="left"/>
        <w:rPr>
          <w:color w:val="0e101a"/>
          <w:sz w:val="28"/>
          <w:szCs w:val="28"/>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pStyle w:val="Heading1"/>
        <w:spacing w:before="0" w:lineRule="auto"/>
        <w:ind w:left="108" w:firstLine="0"/>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0e101a"/>
          <w:sz w:val="28"/>
          <w:szCs w:val="28"/>
          <w:rtl w:val="0"/>
        </w:rPr>
        <w:t xml:space="preserve">Podcast Resources</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90" w:line="275"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For more podcasts and articles, visit </w:t>
      </w:r>
      <w:hyperlink r:id="rId12">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www.ministrypivot.com</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75"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Read the articles: </w:t>
      </w:r>
      <w:hyperlink r:id="rId13">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69"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To watch the video of this conversation</w:t>
      </w:r>
      <w:r w:rsidDel="00000000" w:rsidR="00000000" w:rsidRPr="00000000">
        <w:rPr>
          <w:color w:val="0e101a"/>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 </w:t>
      </w:r>
      <w:hyperlink r:id="rId14">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69"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To Subscribe to the YouTube channel</w:t>
      </w:r>
      <w:r w:rsidDel="00000000" w:rsidR="00000000" w:rsidRPr="00000000">
        <w:rPr>
          <w:color w:val="020003"/>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 </w:t>
      </w:r>
      <w:hyperlink r:id="rId15">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40"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To Subscribe to the audio Podcast</w:t>
      </w:r>
      <w:r w:rsidDel="00000000" w:rsidR="00000000" w:rsidRPr="00000000">
        <w:rPr>
          <w:color w:val="020003"/>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 </w:t>
      </w:r>
      <w:hyperlink r:id="rId16">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sectPr>
      <w:footerReference r:id="rId17" w:type="default"/>
      <w:pgSz w:h="15840" w:w="12240" w:orient="portrait"/>
      <w:pgMar w:bottom="1020" w:top="420" w:left="1260" w:right="1340" w:header="0" w:footer="8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-223491</wp:posOffset>
          </wp:positionH>
          <wp:positionV relativeFrom="paragraph">
            <wp:posOffset>0</wp:posOffset>
          </wp:positionV>
          <wp:extent cx="6743698" cy="515594"/>
          <wp:effectExtent b="0" l="0" r="0" t="0"/>
          <wp:wrapNone/>
          <wp:docPr id="2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743698" cy="515594"/>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sz w:val="28"/>
        <w:szCs w:val="28"/>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rFonts w:ascii="Noto Sans Symbols" w:cs="Noto Sans Symbols" w:eastAsia="Noto Sans Symbols" w:hAnsi="Noto Sans Symbols"/>
        <w:sz w:val="20"/>
        <w:szCs w:val="20"/>
      </w:rPr>
    </w:lvl>
    <w:lvl w:ilvl="1">
      <w:start w:val="1"/>
      <w:numFmt w:val="bullet"/>
      <w:lvlText w:val="o"/>
      <w:lvlJc w:val="left"/>
      <w:pPr>
        <w:ind w:left="2160" w:hanging="360"/>
      </w:pPr>
      <w:rPr>
        <w:rFonts w:ascii="Courier New" w:cs="Courier New" w:eastAsia="Courier New" w:hAnsi="Courier New"/>
        <w:sz w:val="20"/>
        <w:szCs w:val="20"/>
      </w:rPr>
    </w:lvl>
    <w:lvl w:ilvl="2">
      <w:start w:val="1"/>
      <w:numFmt w:val="bullet"/>
      <w:lvlText w:val="▪"/>
      <w:lvlJc w:val="left"/>
      <w:pPr>
        <w:ind w:left="2880" w:hanging="360"/>
      </w:pPr>
      <w:rPr>
        <w:rFonts w:ascii="Noto Sans Symbols" w:cs="Noto Sans Symbols" w:eastAsia="Noto Sans Symbols" w:hAnsi="Noto Sans Symbols"/>
        <w:sz w:val="20"/>
        <w:szCs w:val="20"/>
      </w:rPr>
    </w:lvl>
    <w:lvl w:ilvl="3">
      <w:start w:val="1"/>
      <w:numFmt w:val="bullet"/>
      <w:lvlText w:val="▪"/>
      <w:lvlJc w:val="left"/>
      <w:pPr>
        <w:ind w:left="3600" w:hanging="360"/>
      </w:pPr>
      <w:rPr>
        <w:rFonts w:ascii="Noto Sans Symbols" w:cs="Noto Sans Symbols" w:eastAsia="Noto Sans Symbols" w:hAnsi="Noto Sans Symbols"/>
        <w:sz w:val="20"/>
        <w:szCs w:val="20"/>
      </w:rPr>
    </w:lvl>
    <w:lvl w:ilvl="4">
      <w:start w:val="1"/>
      <w:numFmt w:val="bullet"/>
      <w:lvlText w:val="▪"/>
      <w:lvlJc w:val="left"/>
      <w:pPr>
        <w:ind w:left="4320" w:hanging="360"/>
      </w:pPr>
      <w:rPr>
        <w:rFonts w:ascii="Noto Sans Symbols" w:cs="Noto Sans Symbols" w:eastAsia="Noto Sans Symbols" w:hAnsi="Noto Sans Symbols"/>
        <w:sz w:val="20"/>
        <w:szCs w:val="20"/>
      </w:rPr>
    </w:lvl>
    <w:lvl w:ilvl="5">
      <w:start w:val="1"/>
      <w:numFmt w:val="bullet"/>
      <w:lvlText w:val="▪"/>
      <w:lvlJc w:val="left"/>
      <w:pPr>
        <w:ind w:left="5040" w:hanging="360"/>
      </w:pPr>
      <w:rPr>
        <w:rFonts w:ascii="Noto Sans Symbols" w:cs="Noto Sans Symbols" w:eastAsia="Noto Sans Symbols" w:hAnsi="Noto Sans Symbols"/>
        <w:sz w:val="20"/>
        <w:szCs w:val="20"/>
      </w:rPr>
    </w:lvl>
    <w:lvl w:ilvl="6">
      <w:start w:val="1"/>
      <w:numFmt w:val="bullet"/>
      <w:lvlText w:val="▪"/>
      <w:lvlJc w:val="left"/>
      <w:pPr>
        <w:ind w:left="5760" w:hanging="360"/>
      </w:pPr>
      <w:rPr>
        <w:rFonts w:ascii="Noto Sans Symbols" w:cs="Noto Sans Symbols" w:eastAsia="Noto Sans Symbols" w:hAnsi="Noto Sans Symbols"/>
        <w:sz w:val="20"/>
        <w:szCs w:val="20"/>
      </w:rPr>
    </w:lvl>
    <w:lvl w:ilvl="7">
      <w:start w:val="1"/>
      <w:numFmt w:val="bullet"/>
      <w:lvlText w:val="▪"/>
      <w:lvlJc w:val="left"/>
      <w:pPr>
        <w:ind w:left="6480" w:hanging="360"/>
      </w:pPr>
      <w:rPr>
        <w:rFonts w:ascii="Noto Sans Symbols" w:cs="Noto Sans Symbols" w:eastAsia="Noto Sans Symbols" w:hAnsi="Noto Sans Symbols"/>
        <w:sz w:val="20"/>
        <w:szCs w:val="20"/>
      </w:rPr>
    </w:lvl>
    <w:lvl w:ilvl="8">
      <w:start w:val="1"/>
      <w:numFmt w:val="bullet"/>
      <w:lvlText w:val="▪"/>
      <w:lvlJc w:val="left"/>
      <w:pPr>
        <w:ind w:left="720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ministrypivot.com/articles/" TargetMode="External"/><Relationship Id="rId10" Type="http://schemas.openxmlformats.org/officeDocument/2006/relationships/hyperlink" Target="https://ministrypivot.com/conversations/" TargetMode="External"/><Relationship Id="rId13" Type="http://schemas.openxmlformats.org/officeDocument/2006/relationships/hyperlink" Target="https://ministrypivot.com/articles/" TargetMode="External"/><Relationship Id="rId12" Type="http://schemas.openxmlformats.org/officeDocument/2006/relationships/hyperlink" Target="http://www.ministrypivot.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charliedates/" TargetMode="External"/><Relationship Id="rId15" Type="http://schemas.openxmlformats.org/officeDocument/2006/relationships/hyperlink" Target="https://www.youtube.com/channel/UCCImzdEx-rB6WUiOlMYziSA" TargetMode="External"/><Relationship Id="rId14" Type="http://schemas.openxmlformats.org/officeDocument/2006/relationships/hyperlink" Target="https://ministrypivot.com/conversations/" TargetMode="External"/><Relationship Id="rId17" Type="http://schemas.openxmlformats.org/officeDocument/2006/relationships/footer" Target="footer1.xml"/><Relationship Id="rId16" Type="http://schemas.openxmlformats.org/officeDocument/2006/relationships/hyperlink" Target="https://podcasts.apple.com/us/podcast/ministry-pivot-with-russell-st-bernard/id152848549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preachingdate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IjoKfMYRUBMGe1BVgO9gVWtKXg==">CgMxLjA4AHIhMUxnS3BlREpyaE1qWVZjNGlubDViLWhHNkF1dGowUTVM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