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1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Navigating Faith Disappointments with Lisa Fields</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widowControl w:val="1"/>
        <w:ind w:left="720" w:firstLine="0"/>
        <w:rPr>
          <w:sz w:val="28"/>
          <w:szCs w:val="28"/>
        </w:rPr>
      </w:pPr>
      <w:r w:rsidDel="00000000" w:rsidR="00000000" w:rsidRPr="00000000">
        <w:rPr>
          <w:sz w:val="28"/>
          <w:szCs w:val="28"/>
          <w:rtl w:val="0"/>
        </w:rPr>
        <w:t xml:space="preserve">In this episode of </w:t>
      </w:r>
      <w:r w:rsidDel="00000000" w:rsidR="00000000" w:rsidRPr="00000000">
        <w:rPr>
          <w:i w:val="1"/>
          <w:sz w:val="28"/>
          <w:szCs w:val="28"/>
          <w:rtl w:val="0"/>
        </w:rPr>
        <w:t xml:space="preserve">Ministry Pivot</w:t>
      </w:r>
      <w:r w:rsidDel="00000000" w:rsidR="00000000" w:rsidRPr="00000000">
        <w:rPr>
          <w:sz w:val="28"/>
          <w:szCs w:val="28"/>
          <w:rtl w:val="0"/>
        </w:rPr>
        <w:t xml:space="preserve">, Rev. Russ welcomes the insightful Rev. Lisa Fields. They discuss the importance of apologetics within the African American community, the impact of media on faith, and the inspiring work of the Jude 3 Project. Rev. Lisa shares her personal journey from banking to ministry, emphasizing the need for representation in theological scholarship. They also delve into the engaging documentaries produced by Jude 3 and the powerful stories they tell.</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widowControl w:val="1"/>
        <w:numPr>
          <w:ilvl w:val="0"/>
          <w:numId w:val="3"/>
        </w:numPr>
        <w:ind w:left="1440" w:hanging="360"/>
        <w:rPr>
          <w:sz w:val="28"/>
          <w:szCs w:val="28"/>
        </w:rPr>
      </w:pPr>
      <w:r w:rsidDel="00000000" w:rsidR="00000000" w:rsidRPr="00000000">
        <w:rPr>
          <w:sz w:val="28"/>
          <w:szCs w:val="28"/>
          <w:rtl w:val="0"/>
        </w:rPr>
        <w:t xml:space="preserve">Rev. Lisa Fields emphasizes the critical role of apologetics in addressing doubts and questions about faith, particularly within the African American community.</w:t>
      </w:r>
    </w:p>
    <w:p w:rsidR="00000000" w:rsidDel="00000000" w:rsidP="00000000" w:rsidRDefault="00000000" w:rsidRPr="00000000" w14:paraId="0000000A">
      <w:pPr>
        <w:widowControl w:val="1"/>
        <w:numPr>
          <w:ilvl w:val="0"/>
          <w:numId w:val="3"/>
        </w:numPr>
        <w:ind w:left="1440" w:hanging="360"/>
        <w:rPr>
          <w:sz w:val="28"/>
          <w:szCs w:val="28"/>
        </w:rPr>
      </w:pPr>
      <w:r w:rsidDel="00000000" w:rsidR="00000000" w:rsidRPr="00000000">
        <w:rPr>
          <w:sz w:val="28"/>
          <w:szCs w:val="28"/>
          <w:rtl w:val="0"/>
        </w:rPr>
        <w:t xml:space="preserve">Rev. Fields shares her transition from a banking career to full-time ministry, highlighting the importance of following one's calling despite uncertainties.</w:t>
      </w:r>
    </w:p>
    <w:p w:rsidR="00000000" w:rsidDel="00000000" w:rsidP="00000000" w:rsidRDefault="00000000" w:rsidRPr="00000000" w14:paraId="0000000B">
      <w:pPr>
        <w:widowControl w:val="1"/>
        <w:numPr>
          <w:ilvl w:val="0"/>
          <w:numId w:val="3"/>
        </w:numPr>
        <w:ind w:left="1440" w:hanging="360"/>
        <w:rPr>
          <w:sz w:val="28"/>
          <w:szCs w:val="28"/>
          <w:u w:val="none"/>
        </w:rPr>
      </w:pPr>
      <w:r w:rsidDel="00000000" w:rsidR="00000000" w:rsidRPr="00000000">
        <w:rPr>
          <w:sz w:val="28"/>
          <w:szCs w:val="28"/>
          <w:rtl w:val="0"/>
        </w:rPr>
        <w:t xml:space="preserve">The Jude 3 Project, founded by Rev. Fields, focuses on equipping black Christians and engaging black skeptics through apologetics, addressing culturally specific concerns and questions.</w:t>
      </w:r>
    </w:p>
    <w:p w:rsidR="00000000" w:rsidDel="00000000" w:rsidP="00000000" w:rsidRDefault="00000000" w:rsidRPr="00000000" w14:paraId="0000000C">
      <w:pPr>
        <w:widowControl w:val="1"/>
        <w:numPr>
          <w:ilvl w:val="0"/>
          <w:numId w:val="3"/>
        </w:numPr>
        <w:ind w:left="1440" w:hanging="360"/>
        <w:rPr>
          <w:sz w:val="28"/>
          <w:szCs w:val="28"/>
          <w:u w:val="none"/>
        </w:rPr>
      </w:pPr>
      <w:r w:rsidDel="00000000" w:rsidR="00000000" w:rsidRPr="00000000">
        <w:rPr>
          <w:sz w:val="28"/>
          <w:szCs w:val="28"/>
          <w:rtl w:val="0"/>
        </w:rPr>
        <w:t xml:space="preserve">The Jude 3 Project produces documentaries like "Unspoken" and "Juneteenth Faith and Freedom," which tackle historical and theological questions relevant to the black community.</w:t>
      </w:r>
      <w:r w:rsidDel="00000000" w:rsidR="00000000" w:rsidRPr="00000000">
        <w:rPr>
          <w:rtl w:val="0"/>
        </w:rPr>
      </w:r>
    </w:p>
    <w:p w:rsidR="00000000" w:rsidDel="00000000" w:rsidP="00000000" w:rsidRDefault="00000000" w:rsidRPr="00000000" w14:paraId="0000000D">
      <w:pPr>
        <w:widowControl w:val="1"/>
        <w:ind w:left="1440" w:firstLine="0"/>
        <w:rPr>
          <w:sz w:val="28"/>
          <w:szCs w:val="28"/>
        </w:rPr>
      </w:pPr>
      <w:r w:rsidDel="00000000" w:rsidR="00000000" w:rsidRPr="00000000">
        <w:rPr>
          <w:rtl w:val="0"/>
        </w:rPr>
      </w:r>
    </w:p>
    <w:p w:rsidR="00000000" w:rsidDel="00000000" w:rsidP="00000000" w:rsidRDefault="00000000" w:rsidRPr="00000000" w14:paraId="0000000E">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0F">
      <w:pPr>
        <w:widowControl w:val="1"/>
        <w:numPr>
          <w:ilvl w:val="0"/>
          <w:numId w:val="6"/>
        </w:numPr>
        <w:ind w:left="1440" w:hanging="360"/>
        <w:rPr>
          <w:sz w:val="28"/>
          <w:szCs w:val="28"/>
        </w:rPr>
      </w:pPr>
      <w:r w:rsidDel="00000000" w:rsidR="00000000" w:rsidRPr="00000000">
        <w:rPr>
          <w:sz w:val="28"/>
          <w:szCs w:val="28"/>
          <w:rtl w:val="0"/>
        </w:rPr>
        <w:t xml:space="preserve">Rev. Fields discusses the need for more diverse voices in theological scholarship to address the unique experiences and perspectives of different communities.</w:t>
      </w:r>
    </w:p>
    <w:p w:rsidR="00000000" w:rsidDel="00000000" w:rsidP="00000000" w:rsidRDefault="00000000" w:rsidRPr="00000000" w14:paraId="00000010">
      <w:pPr>
        <w:widowControl w:val="1"/>
        <w:numPr>
          <w:ilvl w:val="0"/>
          <w:numId w:val="6"/>
        </w:numPr>
        <w:ind w:left="1440" w:hanging="360"/>
        <w:rPr>
          <w:sz w:val="28"/>
          <w:szCs w:val="28"/>
        </w:rPr>
      </w:pPr>
      <w:r w:rsidDel="00000000" w:rsidR="00000000" w:rsidRPr="00000000">
        <w:rPr>
          <w:sz w:val="28"/>
          <w:szCs w:val="28"/>
          <w:rtl w:val="0"/>
        </w:rPr>
        <w:t xml:space="preserve">Through her work, Rev. Fields demonstrates how apologetics can strengthen faith and provide answers to challenging questions, fostering a deeper understanding of Christianity.</w:t>
      </w:r>
    </w:p>
    <w:p w:rsidR="00000000" w:rsidDel="00000000" w:rsidP="00000000" w:rsidRDefault="00000000" w:rsidRPr="00000000" w14:paraId="00000011">
      <w:pPr>
        <w:widowControl w:val="1"/>
        <w:ind w:left="0" w:firstLine="0"/>
        <w:rPr>
          <w:sz w:val="28"/>
          <w:szCs w:val="28"/>
        </w:rPr>
      </w:pPr>
      <w:r w:rsidDel="00000000" w:rsidR="00000000" w:rsidRPr="00000000">
        <w:rPr>
          <w:rtl w:val="0"/>
        </w:rPr>
      </w:r>
    </w:p>
    <w:p w:rsidR="00000000" w:rsidDel="00000000" w:rsidP="00000000" w:rsidRDefault="00000000" w:rsidRPr="00000000" w14:paraId="00000012">
      <w:pPr>
        <w:widowControl w:val="1"/>
        <w:ind w:left="1440" w:firstLine="0"/>
        <w:rPr>
          <w:sz w:val="28"/>
          <w:szCs w:val="28"/>
        </w:rPr>
      </w:pPr>
      <w:r w:rsidDel="00000000" w:rsidR="00000000" w:rsidRPr="00000000">
        <w:rPr>
          <w:rtl w:val="0"/>
        </w:rPr>
      </w:r>
    </w:p>
    <w:p w:rsidR="00000000" w:rsidDel="00000000" w:rsidP="00000000" w:rsidRDefault="00000000" w:rsidRPr="00000000" w14:paraId="00000013">
      <w:pPr>
        <w:pStyle w:val="Heading3"/>
        <w:spacing w:after="80" w:before="320" w:lineRule="auto"/>
        <w:ind w:left="720" w:firstLine="0"/>
        <w:rPr>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r w:rsidDel="00000000" w:rsidR="00000000" w:rsidRPr="00000000">
        <w:rPr>
          <w:sz w:val="28"/>
          <w:szCs w:val="28"/>
          <w:rtl w:val="0"/>
        </w:rPr>
        <w:t xml:space="preserve"> </w:t>
      </w:r>
    </w:p>
    <w:p w:rsidR="00000000" w:rsidDel="00000000" w:rsidP="00000000" w:rsidRDefault="00000000" w:rsidRPr="00000000" w14:paraId="00000014">
      <w:pPr>
        <w:numPr>
          <w:ilvl w:val="0"/>
          <w:numId w:val="1"/>
        </w:numPr>
        <w:ind w:left="1440" w:hanging="360"/>
        <w:rPr>
          <w:b w:val="1"/>
          <w:sz w:val="28"/>
          <w:szCs w:val="28"/>
        </w:rPr>
      </w:pPr>
      <w:r w:rsidDel="00000000" w:rsidR="00000000" w:rsidRPr="00000000">
        <w:rPr>
          <w:b w:val="1"/>
          <w:sz w:val="28"/>
          <w:szCs w:val="28"/>
          <w:rtl w:val="0"/>
        </w:rPr>
        <w:t xml:space="preserve">Connect with the guest: Rev. Lisa Fields</w:t>
      </w:r>
    </w:p>
    <w:p w:rsidR="00000000" w:rsidDel="00000000" w:rsidP="00000000" w:rsidRDefault="00000000" w:rsidRPr="00000000" w14:paraId="00000015">
      <w:pPr>
        <w:numPr>
          <w:ilvl w:val="1"/>
          <w:numId w:val="1"/>
        </w:numPr>
        <w:ind w:left="2160" w:hanging="360"/>
        <w:rPr>
          <w:sz w:val="28"/>
          <w:szCs w:val="28"/>
          <w:u w:val="none"/>
        </w:rPr>
      </w:pPr>
      <w:r w:rsidDel="00000000" w:rsidR="00000000" w:rsidRPr="00000000">
        <w:rPr>
          <w:sz w:val="28"/>
          <w:szCs w:val="28"/>
          <w:rtl w:val="0"/>
        </w:rPr>
        <w:t xml:space="preserve">Jude 3 Project Website: </w:t>
      </w:r>
      <w:hyperlink r:id="rId8">
        <w:r w:rsidDel="00000000" w:rsidR="00000000" w:rsidRPr="00000000">
          <w:rPr>
            <w:color w:val="1155cc"/>
            <w:sz w:val="28"/>
            <w:szCs w:val="28"/>
            <w:u w:val="single"/>
            <w:rtl w:val="0"/>
          </w:rPr>
          <w:t xml:space="preserve">https://jude3project.org/</w:t>
        </w:r>
      </w:hyperlink>
      <w:r w:rsidDel="00000000" w:rsidR="00000000" w:rsidRPr="00000000">
        <w:rPr>
          <w:rtl w:val="0"/>
        </w:rPr>
      </w:r>
    </w:p>
    <w:p w:rsidR="00000000" w:rsidDel="00000000" w:rsidP="00000000" w:rsidRDefault="00000000" w:rsidRPr="00000000" w14:paraId="00000016">
      <w:pPr>
        <w:numPr>
          <w:ilvl w:val="1"/>
          <w:numId w:val="1"/>
        </w:numPr>
        <w:ind w:left="2160" w:hanging="360"/>
        <w:rPr>
          <w:sz w:val="28"/>
          <w:szCs w:val="28"/>
          <w:u w:val="none"/>
        </w:rPr>
      </w:pPr>
      <w:r w:rsidDel="00000000" w:rsidR="00000000" w:rsidRPr="00000000">
        <w:rPr>
          <w:sz w:val="28"/>
          <w:szCs w:val="28"/>
          <w:rtl w:val="0"/>
        </w:rPr>
        <w:t xml:space="preserve">Jude 3 Project Instagram: https://www.instagram.com/jude3project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B">
      <w:pPr>
        <w:widowControl w:val="1"/>
        <w:numPr>
          <w:ilvl w:val="0"/>
          <w:numId w:val="2"/>
        </w:numPr>
        <w:ind w:left="1440" w:hanging="360"/>
        <w:rPr>
          <w:sz w:val="28"/>
          <w:szCs w:val="28"/>
        </w:rPr>
      </w:pPr>
      <w:r w:rsidDel="00000000" w:rsidR="00000000" w:rsidRPr="00000000">
        <w:rPr>
          <w:sz w:val="28"/>
          <w:szCs w:val="28"/>
          <w:rtl w:val="0"/>
        </w:rPr>
        <w:t xml:space="preserve">The episode explores the difficulties and rewards of working in ministry, particularly in creating content that resonates with and educates a diverse audience.</w:t>
      </w:r>
    </w:p>
    <w:p w:rsidR="00000000" w:rsidDel="00000000" w:rsidP="00000000" w:rsidRDefault="00000000" w:rsidRPr="00000000" w14:paraId="0000001C">
      <w:pPr>
        <w:widowControl w:val="1"/>
        <w:numPr>
          <w:ilvl w:val="0"/>
          <w:numId w:val="2"/>
        </w:numPr>
        <w:ind w:left="1440" w:hanging="360"/>
        <w:rPr>
          <w:sz w:val="28"/>
          <w:szCs w:val="28"/>
          <w:u w:val="none"/>
        </w:rPr>
      </w:pPr>
      <w:r w:rsidDel="00000000" w:rsidR="00000000" w:rsidRPr="00000000">
        <w:rPr>
          <w:sz w:val="28"/>
          <w:szCs w:val="28"/>
          <w:rtl w:val="0"/>
        </w:rPr>
        <w:t xml:space="preserve">Rev. Fields highlights the educational resources offered by the Jude 3 Project, including podcasts, articles, and videos, to help individuals grow in their faith.</w:t>
      </w:r>
    </w:p>
    <w:p w:rsidR="00000000" w:rsidDel="00000000" w:rsidP="00000000" w:rsidRDefault="00000000" w:rsidRPr="00000000" w14:paraId="0000001D">
      <w:pPr>
        <w:widowControl w:val="1"/>
        <w:numPr>
          <w:ilvl w:val="0"/>
          <w:numId w:val="2"/>
        </w:numPr>
        <w:ind w:left="1440" w:hanging="360"/>
        <w:rPr>
          <w:sz w:val="28"/>
          <w:szCs w:val="28"/>
          <w:u w:val="none"/>
        </w:rPr>
      </w:pPr>
      <w:r w:rsidDel="00000000" w:rsidR="00000000" w:rsidRPr="00000000">
        <w:rPr>
          <w:sz w:val="28"/>
          <w:szCs w:val="28"/>
          <w:rtl w:val="0"/>
        </w:rPr>
        <w:t xml:space="preserve">Insights into upcoming projects by the Jude 3 Project, including new documentaries and educational initiatives aimed at furthering the mission of equipping and engaging the community.</w:t>
      </w:r>
    </w:p>
    <w:p w:rsidR="00000000" w:rsidDel="00000000" w:rsidP="00000000" w:rsidRDefault="00000000" w:rsidRPr="00000000" w14:paraId="0000001E">
      <w:pPr>
        <w:widowControl w:val="1"/>
        <w:numPr>
          <w:ilvl w:val="0"/>
          <w:numId w:val="2"/>
        </w:numPr>
        <w:ind w:left="1440" w:hanging="360"/>
        <w:rPr>
          <w:sz w:val="28"/>
          <w:szCs w:val="28"/>
          <w:u w:val="none"/>
        </w:rPr>
      </w:pPr>
      <w:r w:rsidDel="00000000" w:rsidR="00000000" w:rsidRPr="00000000">
        <w:rPr>
          <w:sz w:val="28"/>
          <w:szCs w:val="28"/>
          <w:rtl w:val="0"/>
        </w:rPr>
        <w:t xml:space="preserve">The conversation underscores the importance of trusting in God's plan and finding inspiration in faith, even when the path forward is unclear.</w:t>
      </w:r>
    </w:p>
    <w:p w:rsidR="00000000" w:rsidDel="00000000" w:rsidP="00000000" w:rsidRDefault="00000000" w:rsidRPr="00000000" w14:paraId="0000001F">
      <w:pPr>
        <w:widowControl w:val="1"/>
        <w:ind w:left="1440" w:firstLine="0"/>
        <w:rPr>
          <w:sz w:val="28"/>
          <w:szCs w:val="28"/>
        </w:rPr>
      </w:pPr>
      <w:r w:rsidDel="00000000" w:rsidR="00000000" w:rsidRPr="00000000">
        <w:rPr>
          <w:rtl w:val="0"/>
        </w:rPr>
      </w:r>
    </w:p>
    <w:p w:rsidR="00000000" w:rsidDel="00000000" w:rsidP="00000000" w:rsidRDefault="00000000" w:rsidRPr="00000000" w14:paraId="00000020">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1">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2">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apologetics be effectively contextualized for different cultural and community backgrounds, and what unique challenges and opportunities does this present for ministry work?</w:t>
      </w:r>
    </w:p>
    <w:p w:rsidR="00000000" w:rsidDel="00000000" w:rsidP="00000000" w:rsidRDefault="00000000" w:rsidRPr="00000000" w14:paraId="00000023">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role does media, such as documentaries and online content, play in addressing theological and historical questions, and how can ministries leverage these tools to engage and educate their audiences?</w:t>
      </w:r>
    </w:p>
    <w:p w:rsidR="00000000" w:rsidDel="00000000" w:rsidP="00000000" w:rsidRDefault="00000000" w:rsidRPr="00000000" w14:paraId="00000024">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In what ways can personal stories and journeys, like that of Rev. Lisa Fields transitioning from banking to ministry, inspire and guide others in finding and following their own callings?</w:t>
      </w:r>
    </w:p>
    <w:p w:rsidR="00000000" w:rsidDel="00000000" w:rsidP="00000000" w:rsidRDefault="00000000" w:rsidRPr="00000000" w14:paraId="00000025">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1">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6"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-223498</wp:posOffset>
          </wp:positionH>
          <wp:positionV relativeFrom="paragraph">
            <wp:posOffset>0</wp:posOffset>
          </wp:positionV>
          <wp:extent cx="6743698" cy="515594"/>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nistrypivot.com/" TargetMode="External"/><Relationship Id="rId10" Type="http://schemas.openxmlformats.org/officeDocument/2006/relationships/hyperlink" Target="https://ministrypivot.com/articles/" TargetMode="External"/><Relationship Id="rId13" Type="http://schemas.openxmlformats.org/officeDocument/2006/relationships/hyperlink" Target="https://ministrypivot.com/conversations/"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pivot.com/conversations/" TargetMode="External"/><Relationship Id="rId15" Type="http://schemas.openxmlformats.org/officeDocument/2006/relationships/hyperlink" Target="https://podcasts.apple.com/us/podcast/ministry-pivot-with-russell-st-bernard/id1528485491" TargetMode="External"/><Relationship Id="rId14" Type="http://schemas.openxmlformats.org/officeDocument/2006/relationships/hyperlink" Target="https://www.youtube.com/channel/UCCImzdEx-rB6WUiOlMYziS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jude3projec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m96YYfQXhHpFIkcwftJNjHDLg==">CgMxLjA4AHIhMWJUMDJ5Y1BuYVA3djdtU0xDbGxzWGhWTmdTaTB6WGxB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